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4536" w:hanging="0"/>
        <w:contextualSpacing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решением совета Общественной палаты </w:t>
        <w:br/>
        <w:t>Костромской области</w:t>
        <w:br/>
        <w:t xml:space="preserve">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30.06.2021 г.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6/01-03/48-1</w:t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>
        <w:rPr>
          <w:rFonts w:cs="Times New Roman" w:ascii="Times New Roman" w:hAnsi="Times New Roman"/>
          <w:b/>
          <w:bCs/>
          <w:i w:val="false"/>
          <w:iCs w:val="false"/>
          <w:color w:val="000000" w:themeColor="text1"/>
          <w:sz w:val="28"/>
          <w:szCs w:val="28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восьмого созыва 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Настоящее Положение о порядке назначения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наблюдателей от Общественной палаты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(далее – Общественная палата) при проведении выборов депутатов Государственной Думы Федерального Собрания Российской Федерации восьмого созыва (далее – Положение)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 (далее – Федеральный закон № 67-ФЗ), Федеральным законом от 22 февраля 2014 г. № 20-ФЗ «О выборах депутатов Государственной Думы Федерального Собрания Российской Федерации» (далее –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Федеральный закон № 20-ФЗ)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другими федеральными законами, постановлениями Центральной избирательной комиссии Российской Федерации, Регламентом Общественной палаты (далее – Регламент), решениями Общественной палаты и совета Общественной палаты.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Для назначения наблюдателями могут быть предложены кандидатуры граждан Российской Федерации (далее – представители), обладающих активным избирательным правом, 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Гражданин Российской Федерации, </w:t>
      </w:r>
      <w:r>
        <w:rPr>
          <w:rFonts w:eastAsia="Times New Roman" w:cs="Times New Roman" w:ascii="Times New Roman" w:hAnsi="Times New Roman"/>
          <w:color w:val="000000" w:themeColor="text1"/>
          <w:sz w:val="28"/>
          <w:lang w:eastAsia="ru-RU"/>
        </w:rPr>
        <w:t xml:space="preserve"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избирательную комиссию.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Не могут вносить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Общественную палату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предложения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 назначении наблюдателей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избирательные комиссии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следующие организации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политические партии;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религиозные организации;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  <w:br/>
        <w:t>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общественные объединения, иные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некоммерческие организации, незарегистрированные общественные объединения, выполняющие функции иностранного агента, и иностранные 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3.1. Федерального закона от 28.12.2012  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color w:val="000000" w:themeColor="text1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соответствии с частью 2 статьи 33 Федерального закона № 20-ФЗ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№ 67-ФЗ, иностранные граждане, лица без гражданства в соответствии с пунктом 1 статьи 11 Федерального закона № 20-ФЗ.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при внесении в Общественную палату предложения о назначении наблюдателя(ей) в избирательные комиссии необходимо представить: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заявление о внесении в Общественную палату предложения о назначении наблюдателя(ей) в избирательные комиссии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расположенные на территории Костромской области (Приложение № 1 –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рекомендуемый образец заявления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решение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о внесении в Общественную палату предложения о назначении наблюдателя(ей) в избирательные комиссии, расположенные на территории  Костромской области (Приложение № 2 –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рекомендуемый образец решения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предлагаемых для назначения наблюдателями в избирательные комиссии, расположенные на территории Костромской области 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(Приложение № 3  – форма сведений о кандидатурах;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 организации; копию положения (иного документа), регулирующего деятельность общественной палаты (совета) муниципального образования; копию положения (иного документа), регулирующего деятельность иного объединения граждан Российской Федерации соответственно;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eastAsia="" w:eastAsiaTheme="minorEastAsia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ограничений, предусмотренных настоящим Положением, для назначения наблюдателем, а также о согласии на обработку персональных данных (Приложение № 4  – форма заявления);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общественная палата (совет) муниципального образования, иное объединение граждан Российской Федерации считает необходимым представить.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Гражданину Российской Федерации при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внесении в Общественную палату предложения о назначении своей кандидатуры наблюдателем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избирательную комиссию необходимо представить: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заявление гражданина Российской Федерации о выдвижении своей кандидатуры для назначения наблюдателем в избирательную комиссию, расположенную на территории Костромской области, содержащее сведения о согласии быть наблюдателем, об обязательстве соблюдать Кодекс этики общественного наблюдателя, об отсутствии ограничений на выдвижение в качестве наблюдателя, предусмотренных настоящим Положением, и согласие на обработку персональных данных (Приложение № 4 – форма заявления);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сведения о гражданине Российской Федерации (Приложение № 5 – форма сведений о кандидатуре);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иные документы, которые гражданин Российской Федерации считает необходимым представить.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информационно-телекоммуникационной сети «Интернет».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представляются в Общественную палату в обязательном порядке на бумажном носителе. 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Приём заявлений и прилагаемых к ним документов осуществляется в Общественной палате по адресу: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  156000 г.Кострома, ул.Советская, д.9-а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и прилагаемые к ним документы могут доставляться нарочным порядком, курьерской доставкой, почтовым отправлением с пометкой на конверте «наблюдение за выборами».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 и одновременно в электронном виде.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и прилагаемые к нему документы, поступившие в Общественную палату по истечении срока, установленного советом Общественной палаты для направления заявлений и иных документов, не рассматриваются.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палату, передаются в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Региональный общественный штаб по наблюдению за выборами в Костромской области (РОШ КО)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Задачами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РОШ КО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прием заявлений и прилагаемых к ним документов в Аппарат Общественной палаты;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организация работы с поступающими заявлениями и прилагаемыми к ним документами;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проверка достоверности сведений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информации), содержащихся в заявлениях и прилагаемых к ним документах, в том числе на соответствие требованиям законодательства Российской Федерации, нормативных правовых актов и настоящего Положения;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формирование единого списка наблюдателей;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подготовка единого списка наблюдателей, иных проектов документов для вынесения их на рассмотрение в порядке, предусмотренном Регламентом</w:t>
      </w:r>
      <w:r>
        <w:rPr>
          <w:rFonts w:eastAsia="Calibri"/>
          <w:b/>
          <w:color w:val="000000" w:themeColor="text1"/>
          <w:sz w:val="28"/>
          <w:szCs w:val="28"/>
        </w:rPr>
        <w:t>,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советом Общественной палаты или секретарем (председателем) Общественной палаты;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подготовка и заполнение форм направлений наблюдателя;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наблюдателя.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Совет Общественной палаты или секретарь (председатель) Общественной палаты в порядке, предусмотренном Регламентом, принимает решение о назначении наблюдателей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случае назначения советом Общественной палаты или секретарем (председателем) Общественной палаты гражданина Российской Федерации наблюдателем Общественная палата выдает ему направление в письменной форме, которым удостоверяются полномочия наблюдателя.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комиссии (территориальной, участковой), куда он направляется, а также делается запись об отсутствии ограничений, предусмотренных частью 2 статьи 33 Федерального закона № 20-ФЗ. Указание каких-либо дополнительных сведений о наблюдателе не требуется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В направлении может быть указан действующий номер телефона наблюдателя для установления с ним оперативной связи в случае необходимости. Форма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направления наблюдателя Общественной палаты приведена в Приложении № 6.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секретарем (председателем) Общественной палаты, а в период его отсутствия – первым заместителем секретаря (председателя) Общественной палаты либо одним из заместителей секретаря (председателя) Общественной палаты и заверяется печатью Общественной палаты. 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Направление наблюдателя от Общественной палаты может быть подписано уполномоченным советом Общественной палаты членом Общественной палаты.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Вопросы, не урегулированные настоящим положением, определяются решениями совета Общественной палаты.</w:t>
      </w:r>
      <w:r>
        <w:br w:type="page"/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 № 1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(Оформляется на бланке)</w:t>
      </w:r>
      <w:r>
        <w:rPr>
          <w:rStyle w:val="Style21"/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Общественную палату</w:t>
      </w:r>
    </w:p>
    <w:p>
      <w:pPr>
        <w:pStyle w:val="Normal"/>
        <w:spacing w:lineRule="auto" w:line="240" w:before="0" w:after="0"/>
        <w:ind w:left="5812" w:hanging="0"/>
        <w:jc w:val="center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bookmarkStart w:id="1" w:name="__DdeLink__1365_4040478995"/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center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 w:themeColor="text1"/>
          <w:sz w:val="14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 w:themeColor="text1"/>
          <w:sz w:val="1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 решением_____________________________________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организации,</w:t>
      </w:r>
      <w:r>
        <w:rPr>
          <w:color w:val="000000" w:themeColor="text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softHyphen/>
        <w:softHyphen/>
        <w:softHyphen/>
        <w:t>___________________________от «___»_____________20__г., №__________  ________________________________________________________________</w:t>
        <w:br/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предлагается(ются) кандидатура(ы) для назначения в качестве наблюдателя(ей)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(Приложение № 3).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Прилагаемые документы: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Решение руководящего органа,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 xml:space="preserve">Костромской области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 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предлагаемых для назначения наблюдателями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(Приложение № 3 – форма сведений о кандидатурах) 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>
          <w:rFonts w:eastAsia=""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 ___ л.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Всего на ___ 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_______________ 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25.07.2002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движением; некоммерческой организацией, 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 Федерального закона от 28.12.2012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Руководитель                               ____________________/____________________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(подпись)                                   (инициалы, фамилия)            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м.п.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  <w:lang w:eastAsia="ru-RU"/>
        </w:rPr>
        <w:t>«___» _____________20___г.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2694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4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(Оформляется на бланке</w:t>
      </w:r>
      <w:r>
        <w:rPr>
          <w:rStyle w:val="Style21"/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Город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   «____»______________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Присутствовали: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ab/>
        <w:tab/>
        <w:tab/>
        <w:tab/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  <w:tab/>
        <w:tab/>
        <w:t xml:space="preserve">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  <w:tab/>
        <w:tab/>
        <w:t xml:space="preserve">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 п. ______ 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(наименование руководящего органа общественного объединения,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12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2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1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 xml:space="preserve">Костромской области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Слушали: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Общественную палату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 количестве ____ кандидатур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Представить в Общественную палату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сведения о выдвигаемой(ых) кандидатуре(ах) для назначения наблюдателем(лями)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по утвержденной форме.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3. Представить в Общественную палату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заявление(я) выдвигаемой(ых) кандидатуры(р) о согласии быть наблюдателем(ми) 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______________________(Ф.И.О.)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701" w:right="680" w:header="709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М.П.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Приложение № 3</w:t>
      </w:r>
    </w:p>
    <w:tbl>
      <w:tblPr>
        <w:tblStyle w:val="af2"/>
        <w:tblW w:w="16018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7"/>
        <w:gridCol w:w="1134"/>
        <w:gridCol w:w="1275"/>
        <w:gridCol w:w="1985"/>
        <w:gridCol w:w="1415"/>
      </w:tblGrid>
      <w:tr>
        <w:trPr/>
        <w:tc>
          <w:tcPr>
            <w:tcW w:w="16017" w:type="dxa"/>
            <w:gridSpan w:val="1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Сведения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о кандидатуре(ах) общественного объединения, иной некоммерческой организации, предлагаемой(ых) для назначения наблюдателем(ми) в избирательные комиссии, расположенные на территории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u w:val="none"/>
                <w:lang w:eastAsia="ru-RU"/>
              </w:rPr>
              <w:t>Костромской области</w:t>
            </w:r>
          </w:p>
        </w:tc>
      </w:tr>
      <w:tr>
        <w:trPr>
          <w:trHeight w:val="85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Е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К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Л</w:t>
            </w:r>
          </w:p>
        </w:tc>
      </w:tr>
      <w:tr>
        <w:trPr>
          <w:trHeight w:val="3036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Адрес регистрации гражданина по месту жительства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Номер мобильного телефона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ское региональное отделение ВОО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0001 123456, выдан 01.01.2001 ОМВД России по г. 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Костроме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остромская обл.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ivanovip001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+7</w:t>
            </w: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Имеется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Имеется</w:t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</w:tr>
    </w:tbl>
    <w:p>
      <w:pPr>
        <w:sectPr>
          <w:head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№ 4</w:t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661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66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45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>
            <w:pPr>
              <w:pStyle w:val="Normal"/>
              <w:spacing w:lineRule="auto" w:line="240" w:before="0" w:after="0"/>
              <w:ind w:left="145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/>
                <w:sz w:val="28"/>
                <w:szCs w:val="28"/>
              </w:rPr>
              <w:t>Костромской области</w:t>
            </w:r>
          </w:p>
        </w:tc>
      </w:tr>
    </w:tbl>
    <w:p>
      <w:pPr>
        <w:pStyle w:val="Normal"/>
        <w:spacing w:lineRule="auto" w:line="240" w:before="0" w:after="0"/>
        <w:ind w:left="4500" w:hanging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6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Я, 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номер _________, выдан ________ г. _______________________________</w:t>
      </w:r>
    </w:p>
    <w:p>
      <w:pPr>
        <w:pStyle w:val="Normal"/>
        <w:spacing w:lineRule="auto" w:line="240" w:before="0" w:after="0"/>
        <w:ind w:left="2123" w:firstLine="709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 xml:space="preserve">(дата выдачи)                                    (кем выдан)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_______________________________________, код подразделения 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зарегистрированный(ая) по адресу: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_______________________________________________________________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6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 xml:space="preserve">выражаю свое согласие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быть наблюдателем в избирательной комиссии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и прошу рассмотреть вопрос о моем назначении наблюдателем.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Я уведомляю, что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 меня отсутствуют ограничения, предусмотренные Положением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12.06.2002   № 67-ФЗ «Об основных гарантиях избирательных прав и права на участие в референдуме граждан Российской Федерации», иностранным гражданином, лицом без гражданства;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я не являюсь гражданином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«____» _____________20___ г.</w:t>
        <w:tab/>
        <w:tab/>
        <w:tab/>
        <w:tab/>
        <w:t xml:space="preserve">_____________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  <w:tab/>
        <w:tab/>
        <w:tab/>
        <w:tab/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  <w:lang w:eastAsia="ru-RU"/>
        </w:rPr>
        <w:t>Кроме того, я, 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 Аппарату Общественной палаты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по назначению наблюдателей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«____» _____________20___ г.</w:t>
        <w:tab/>
        <w:tab/>
        <w:tab/>
        <w:tab/>
        <w:t xml:space="preserve">_____________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  <w:tab/>
        <w:tab/>
        <w:tab/>
        <w:tab/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</w:p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Приложение № 5</w:t>
      </w:r>
    </w:p>
    <w:tbl>
      <w:tblPr>
        <w:tblStyle w:val="af2"/>
        <w:tblW w:w="16018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7"/>
        <w:gridCol w:w="1134"/>
        <w:gridCol w:w="1275"/>
        <w:gridCol w:w="1985"/>
        <w:gridCol w:w="1415"/>
      </w:tblGrid>
      <w:tr>
        <w:trPr/>
        <w:tc>
          <w:tcPr>
            <w:tcW w:w="16017" w:type="dxa"/>
            <w:gridSpan w:val="1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Сведения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 гражданине Российской Федерации для назначения наблюдателем в избирательную комиссию,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расположенную на территории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u w:val="none"/>
                <w:lang w:eastAsia="ru-RU"/>
              </w:rPr>
              <w:t>Костромской области</w:t>
            </w:r>
          </w:p>
        </w:tc>
      </w:tr>
      <w:tr>
        <w:trPr>
          <w:trHeight w:val="85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Е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К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Л</w:t>
            </w:r>
          </w:p>
        </w:tc>
      </w:tr>
      <w:tr>
        <w:trPr>
          <w:trHeight w:val="3036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Адрес регистрации гражданина по месту жительства 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Номер мобильного телефона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Костромс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кое региональное отделение ВОО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0001 123456, выдан 01.01.2001 ОМВД России по г. 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Костроме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остромская обл.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ivanovip001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+7</w:t>
            </w: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</w:rPr>
              <w:t>Подпись</w:t>
            </w:r>
          </w:p>
        </w:tc>
      </w:tr>
    </w:tbl>
    <w:p>
      <w:pPr>
        <w:sectPr>
          <w:headerReference w:type="default" r:id="rId5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№ 6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1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2"/>
          <w:szCs w:val="32"/>
          <w:lang w:eastAsia="ru-RU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6"/>
        <w:gridCol w:w="5616"/>
      </w:tblGrid>
      <w:tr>
        <w:trPr/>
        <w:tc>
          <w:tcPr>
            <w:tcW w:w="4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32"/>
                <w:szCs w:val="32"/>
                <w:lang w:eastAsia="ru-RU"/>
              </w:rPr>
            </w:r>
          </w:p>
        </w:tc>
        <w:tc>
          <w:tcPr>
            <w:tcW w:w="5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для участковой избирательной комиссии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  <w:br/>
              <w:t>также номер избирательного участка, с указанием субъекта ____________________________________________________________</w:t>
              <w:br/>
              <w:t>Российской Федерации)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32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статьей 33 Федерального закона от 22 февраля 2014 года № 20-ФЗ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Общественная палата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eastAsia="ru-RU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наблюдателем в </w:t>
      </w: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  <w:br/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  <w:tab/>
        <w:t>______________ г.р.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(фамилия, имя, отчество)</w:t>
        <w:tab/>
        <w:tab/>
        <w:tab/>
        <w:tab/>
        <w:tab/>
        <w:t>(число, месяц, год рождения)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(наименование субъекта Российской Федерации, района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(номер мобильного телефона)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«О выборах депутатов Государственной     Думы Федерального Собрания Российской Федерации»»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3014"/>
        <w:gridCol w:w="3190"/>
      </w:tblGrid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  <w:br/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10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0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МП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>
        <w:rPr>
          <w:rFonts w:eastAsia="Times New Roman" w:cs="Times New Roman" w:ascii="Times New Roman" w:hAnsi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/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8" w:right="851" w:header="709" w:top="766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8429848"/>
    </w:sdtPr>
    <w:sdtContent>
      <w:p>
        <w:pPr>
          <w:pStyle w:val="Style3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19</w:t>
        </w:r>
        <w: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rPr/>
        <w:t>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5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6784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6784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d076f6"/>
    <w:rPr>
      <w:rFonts w:ascii="Tahoma" w:hAnsi="Tahoma" w:cs="Tahoma"/>
      <w:sz w:val="16"/>
      <w:szCs w:val="16"/>
    </w:rPr>
  </w:style>
  <w:style w:type="character" w:styleId="Style17" w:customStyle="1">
    <w:name w:val="Текст сноски Знак"/>
    <w:basedOn w:val="DefaultParagraphFont"/>
    <w:link w:val="aa"/>
    <w:qFormat/>
    <w:rsid w:val="00d076f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d076f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73ab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e"/>
    <w:uiPriority w:val="99"/>
    <w:semiHidden/>
    <w:qFormat/>
    <w:rsid w:val="007673ab"/>
    <w:rPr>
      <w:sz w:val="20"/>
      <w:szCs w:val="20"/>
    </w:rPr>
  </w:style>
  <w:style w:type="character" w:styleId="Style19" w:customStyle="1">
    <w:name w:val="Тема примечания Знак"/>
    <w:basedOn w:val="Style18"/>
    <w:link w:val="af0"/>
    <w:uiPriority w:val="99"/>
    <w:semiHidden/>
    <w:qFormat/>
    <w:rsid w:val="007673ab"/>
    <w:rPr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</w:rPr>
  </w:style>
  <w:style w:type="character" w:styleId="ListLabel3">
    <w:name w:val="ListLabel 3"/>
    <w:qFormat/>
    <w:rPr>
      <w:rFonts w:ascii="Times New Roman" w:hAnsi="Times New Roman" w:cs="Times New Roman"/>
      <w:sz w:val="28"/>
    </w:rPr>
  </w:style>
  <w:style w:type="character" w:styleId="ListLabel4">
    <w:name w:val="ListLabel 4"/>
    <w:qFormat/>
    <w:rPr>
      <w:color w:val="00000A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ы концевой сноски"/>
    <w:qFormat/>
    <w:rPr/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</w:rPr>
  </w:style>
  <w:style w:type="character" w:styleId="ListLabel7">
    <w:name w:val="ListLabel 7"/>
    <w:qFormat/>
    <w:rPr>
      <w:rFonts w:ascii="Times New Roman" w:hAnsi="Times New Roman" w:cs="Times New Roman"/>
      <w:sz w:val="28"/>
    </w:rPr>
  </w:style>
  <w:style w:type="paragraph" w:styleId="Style24">
    <w:name w:val="Заголовок"/>
    <w:basedOn w:val="Normal"/>
    <w:next w:val="Style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88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5b0f"/>
    <w:pPr>
      <w:spacing w:before="0" w:after="200"/>
      <w:ind w:left="720" w:hanging="0"/>
      <w:contextualSpacing/>
    </w:pPr>
    <w:rPr/>
  </w:style>
  <w:style w:type="paragraph" w:styleId="Style29">
    <w:name w:val="Header"/>
    <w:basedOn w:val="Normal"/>
    <w:link w:val="a5"/>
    <w:uiPriority w:val="99"/>
    <w:unhideWhenUsed/>
    <w:rsid w:val="006678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7"/>
    <w:uiPriority w:val="99"/>
    <w:unhideWhenUsed/>
    <w:rsid w:val="006678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076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ab"/>
    <w:qFormat/>
    <w:rsid w:val="00d076f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7673a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1"/>
    <w:uiPriority w:val="99"/>
    <w:semiHidden/>
    <w:unhideWhenUsed/>
    <w:qFormat/>
    <w:rsid w:val="007673ab"/>
    <w:pPr/>
    <w:rPr>
      <w:b/>
      <w:bCs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51C-8379-451F-8E58-DE00AD3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LibreOffice/5.3.4.2$Windows_x86 LibreOffice_project/f82d347ccc0be322489bf7da61d7e4ad13fe2ff3</Application>
  <Pages>18</Pages>
  <Words>3217</Words>
  <Characters>26415</Characters>
  <CharactersWithSpaces>30681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2021-06-25T09:49:00Z</dcterms:created>
  <dc:creator>Автор</dc:creator>
  <dc:description/>
  <dc:language>ru-RU</dc:language>
  <cp:lastModifiedBy/>
  <cp:lastPrinted>2021-06-29T16:33:27Z</cp:lastPrinted>
  <dcterms:modified xsi:type="dcterms:W3CDTF">2021-06-29T16:31:42Z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